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F696C" w14:textId="77777777" w:rsidR="003051FA" w:rsidRPr="00AD305E" w:rsidRDefault="003051FA" w:rsidP="003051FA">
      <w:pPr>
        <w:pStyle w:val="ThnVnban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QUY CHẾ</w:t>
      </w:r>
    </w:p>
    <w:p w14:paraId="66BC20CF" w14:textId="77777777" w:rsidR="003051FA" w:rsidRPr="00AD305E" w:rsidRDefault="003051FA" w:rsidP="003051FA">
      <w:pPr>
        <w:pStyle w:val="ThnVnban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thông</w:t>
      </w:r>
      <w:proofErr w:type="spellEnd"/>
    </w:p>
    <w:p w14:paraId="5A439777" w14:textId="77777777" w:rsidR="003051FA" w:rsidRPr="00AD305E" w:rsidRDefault="003051FA" w:rsidP="003051FA">
      <w:pPr>
        <w:pStyle w:val="ThnVnban"/>
        <w:shd w:val="clear" w:color="auto" w:fill="auto"/>
        <w:spacing w:after="0" w:line="240" w:lineRule="auto"/>
        <w:ind w:firstLine="0"/>
        <w:jc w:val="center"/>
        <w:rPr>
          <w:rStyle w:val="ThnVnbanChar"/>
          <w:i/>
          <w:iCs/>
          <w:color w:val="000000"/>
          <w:sz w:val="28"/>
          <w:szCs w:val="28"/>
          <w:lang w:eastAsia="vi-VN"/>
        </w:rPr>
      </w:pPr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(Ban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kèm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tư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15/2020/TT-BGDĐT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26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tháng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5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2020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Đào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tạo</w:t>
      </w:r>
      <w:proofErr w:type="spellEnd"/>
      <w:r w:rsidRPr="00AD305E">
        <w:rPr>
          <w:rStyle w:val="ThnVnbanChar"/>
          <w:i/>
          <w:iCs/>
          <w:color w:val="000000"/>
          <w:sz w:val="28"/>
          <w:szCs w:val="28"/>
          <w:lang w:eastAsia="vi-VN"/>
        </w:rPr>
        <w:t>)</w:t>
      </w:r>
    </w:p>
    <w:p w14:paraId="6E168A24" w14:textId="77777777" w:rsidR="003051FA" w:rsidRPr="003051FA" w:rsidRDefault="003051FA" w:rsidP="003051FA">
      <w:pPr>
        <w:pStyle w:val="ThnVnban"/>
        <w:shd w:val="clear" w:color="auto" w:fill="auto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proofErr w:type="spellStart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>Thông</w:t>
      </w:r>
      <w:proofErr w:type="spellEnd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>báo</w:t>
      </w:r>
      <w:proofErr w:type="spellEnd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>cho</w:t>
      </w:r>
      <w:proofErr w:type="spellEnd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>học</w:t>
      </w:r>
      <w:proofErr w:type="spellEnd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3051FA">
        <w:rPr>
          <w:rStyle w:val="ThnVnbanChar"/>
          <w:b/>
          <w:bCs/>
          <w:color w:val="000000"/>
          <w:sz w:val="28"/>
          <w:szCs w:val="28"/>
          <w:lang w:eastAsia="vi-VN"/>
        </w:rPr>
        <w:t>sinh</w:t>
      </w:r>
      <w:proofErr w:type="spellEnd"/>
    </w:p>
    <w:p w14:paraId="71BE8614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2.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Mục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đích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yêu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cầu</w:t>
      </w:r>
      <w:proofErr w:type="spellEnd"/>
    </w:p>
    <w:p w14:paraId="352AA8F9" w14:textId="77777777" w:rsidR="003051FA" w:rsidRPr="00AD305E" w:rsidRDefault="003051FA" w:rsidP="003051FA">
      <w:pPr>
        <w:pStyle w:val="ThnVnban"/>
        <w:shd w:val="clear" w:color="auto" w:fill="auto"/>
        <w:tabs>
          <w:tab w:val="left" w:pos="104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nhằm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t>THPT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THPT);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dạy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0A12E1A" w14:textId="77777777" w:rsidR="003051FA" w:rsidRPr="00AD305E" w:rsidRDefault="003051FA" w:rsidP="003051FA">
      <w:pPr>
        <w:pStyle w:val="ThnVnban"/>
        <w:shd w:val="clear" w:color="auto" w:fill="auto"/>
        <w:tabs>
          <w:tab w:val="left" w:pos="104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tắt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yêu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nghiêm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túc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02726687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3.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</w:p>
    <w:p w14:paraId="79D3FCAA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03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01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Khoa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tắt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KHTN)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01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Khoa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tắt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KHXH)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Lịch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Lịch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</w:t>
      </w:r>
    </w:p>
    <w:p w14:paraId="54910BBB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4.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lịch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/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</w:p>
    <w:p w14:paraId="5B7BED28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lịch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GDĐT.</w:t>
      </w:r>
    </w:p>
    <w:p w14:paraId="3C460AC6" w14:textId="77777777" w:rsidR="003051FA" w:rsidRPr="00AD305E" w:rsidRDefault="003051FA" w:rsidP="003051FA">
      <w:pPr>
        <w:pStyle w:val="ThnVnban"/>
        <w:shd w:val="clear" w:color="auto" w:fill="auto"/>
        <w:tabs>
          <w:tab w:val="left" w:pos="108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nằm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yếu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12.</w:t>
      </w:r>
    </w:p>
    <w:p w14:paraId="66180F57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KHTN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KHXH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).</w:t>
      </w:r>
    </w:p>
    <w:p w14:paraId="44116C66" w14:textId="77777777" w:rsidR="003051FA" w:rsidRPr="00AD305E" w:rsidRDefault="003051FA" w:rsidP="003051FA">
      <w:pPr>
        <w:pStyle w:val="ThnVnban"/>
        <w:shd w:val="clear" w:color="auto" w:fill="auto"/>
        <w:tabs>
          <w:tab w:val="left" w:pos="108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/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90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60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50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KHXH.</w:t>
      </w:r>
    </w:p>
    <w:p w14:paraId="6B785F31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12.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</w:p>
    <w:p w14:paraId="03E8C85A" w14:textId="77777777" w:rsidR="003051FA" w:rsidRPr="00AD305E" w:rsidRDefault="003051FA" w:rsidP="003051FA">
      <w:pPr>
        <w:pStyle w:val="ThnVnban"/>
        <w:shd w:val="clear" w:color="auto" w:fill="auto"/>
        <w:tabs>
          <w:tab w:val="left" w:pos="106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145AC764" w14:textId="77777777" w:rsidR="003051FA" w:rsidRPr="00AD305E" w:rsidRDefault="003051FA" w:rsidP="003051FA">
      <w:pPr>
        <w:pStyle w:val="ThnVnban"/>
        <w:shd w:val="clear" w:color="auto" w:fill="auto"/>
        <w:tabs>
          <w:tab w:val="left" w:pos="112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799FFE9F" w14:textId="77777777" w:rsidR="003051FA" w:rsidRPr="00AD305E" w:rsidRDefault="003051FA" w:rsidP="003051FA">
      <w:pPr>
        <w:pStyle w:val="ThnVnban"/>
        <w:shd w:val="clear" w:color="auto" w:fill="auto"/>
        <w:tabs>
          <w:tab w:val="left" w:pos="11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09F81BEA" w14:textId="77777777" w:rsidR="003051FA" w:rsidRPr="00AD305E" w:rsidRDefault="003051FA" w:rsidP="003051FA">
      <w:pPr>
        <w:pStyle w:val="ThnVnban"/>
        <w:shd w:val="clear" w:color="auto" w:fill="auto"/>
        <w:tabs>
          <w:tab w:val="left" w:pos="112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0E53A71E" w14:textId="77777777" w:rsidR="003051FA" w:rsidRPr="00AD305E" w:rsidRDefault="003051FA" w:rsidP="003051FA">
      <w:pPr>
        <w:pStyle w:val="ThnVnban"/>
        <w:shd w:val="clear" w:color="auto" w:fill="auto"/>
        <w:tabs>
          <w:tab w:val="left" w:pos="114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3A3EEBD6" w14:textId="77777777" w:rsidR="003051FA" w:rsidRPr="00AD305E" w:rsidRDefault="003051FA" w:rsidP="003051FA">
      <w:pPr>
        <w:pStyle w:val="ThnVnban"/>
        <w:shd w:val="clear" w:color="auto" w:fill="auto"/>
        <w:tabs>
          <w:tab w:val="left" w:pos="108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1AEA4497" w14:textId="77777777" w:rsidR="003051FA" w:rsidRPr="00AD305E" w:rsidRDefault="003051FA" w:rsidP="003051FA">
      <w:pPr>
        <w:pStyle w:val="ThnVnban"/>
        <w:shd w:val="clear" w:color="auto" w:fill="auto"/>
        <w:tabs>
          <w:tab w:val="left" w:pos="107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riêng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yêu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28561226" w14:textId="77777777" w:rsidR="003051FA" w:rsidRPr="00AD305E" w:rsidRDefault="003051FA" w:rsidP="003051FA">
      <w:pPr>
        <w:pStyle w:val="ThnVnban"/>
        <w:shd w:val="clear" w:color="auto" w:fill="auto"/>
        <w:tabs>
          <w:tab w:val="left" w:pos="109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THCS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cuối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5,0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ĐKDT),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lấy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0903059D" w14:textId="77777777" w:rsidR="003051FA" w:rsidRPr="00AD305E" w:rsidRDefault="003051FA" w:rsidP="003051FA">
      <w:pPr>
        <w:pStyle w:val="ThnVnban"/>
        <w:shd w:val="clear" w:color="auto" w:fill="auto"/>
        <w:tabs>
          <w:tab w:val="left" w:pos="109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yêu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GDĐT;</w:t>
      </w:r>
      <w:proofErr w:type="gramEnd"/>
    </w:p>
    <w:p w14:paraId="53FB084A" w14:textId="77777777" w:rsidR="003051FA" w:rsidRPr="00AD305E" w:rsidRDefault="003051FA" w:rsidP="003051FA">
      <w:pPr>
        <w:pStyle w:val="ThnVnban"/>
        <w:shd w:val="clear" w:color="auto" w:fill="auto"/>
        <w:tabs>
          <w:tab w:val="left" w:pos="111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đúng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6079D7D2" w14:textId="77777777" w:rsidR="003051FA" w:rsidRPr="00AD305E" w:rsidRDefault="003051FA" w:rsidP="003051FA">
      <w:pPr>
        <w:pStyle w:val="ThnVnban"/>
        <w:shd w:val="clear" w:color="auto" w:fill="auto"/>
        <w:tabs>
          <w:tab w:val="left" w:pos="108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3D59846E" w14:textId="77777777" w:rsidR="003051FA" w:rsidRPr="00AD305E" w:rsidRDefault="003051FA" w:rsidP="003051FA">
      <w:pPr>
        <w:pStyle w:val="ThnVnban"/>
        <w:shd w:val="clear" w:color="auto" w:fill="auto"/>
        <w:tabs>
          <w:tab w:val="left" w:pos="107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a, b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04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chọn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a, b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chọn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thêm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2E3A5471" w14:textId="77777777" w:rsidR="003051FA" w:rsidRPr="00AD305E" w:rsidRDefault="003051FA" w:rsidP="003051FA">
      <w:pPr>
        <w:pStyle w:val="ThnVnban"/>
        <w:shd w:val="clear" w:color="auto" w:fill="auto"/>
        <w:tabs>
          <w:tab w:val="left" w:pos="109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nguyện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vọng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0EC63CC9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13.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</w:p>
    <w:p w14:paraId="6616944E" w14:textId="77777777" w:rsidR="003051FA" w:rsidRPr="00AD305E" w:rsidRDefault="003051FA" w:rsidP="003051FA">
      <w:pPr>
        <w:pStyle w:val="ThnVnban"/>
        <w:shd w:val="clear" w:color="auto" w:fill="auto"/>
        <w:tabs>
          <w:tab w:val="left" w:pos="105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ĐKDT:</w:t>
      </w:r>
    </w:p>
    <w:p w14:paraId="0B445167" w14:textId="77777777" w:rsidR="003051FA" w:rsidRPr="00AD305E" w:rsidRDefault="003051FA" w:rsidP="003051FA">
      <w:pPr>
        <w:pStyle w:val="ThnVnban"/>
        <w:shd w:val="clear" w:color="auto" w:fill="auto"/>
        <w:tabs>
          <w:tab w:val="left" w:pos="107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12;</w:t>
      </w:r>
      <w:proofErr w:type="gramEnd"/>
    </w:p>
    <w:p w14:paraId="56F38075" w14:textId="77777777" w:rsidR="003051FA" w:rsidRPr="00AD305E" w:rsidRDefault="003051FA" w:rsidP="003051FA">
      <w:pPr>
        <w:pStyle w:val="ThnVnban"/>
        <w:shd w:val="clear" w:color="auto" w:fill="auto"/>
        <w:tabs>
          <w:tab w:val="left" w:pos="108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b, 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ĐKDT)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vụ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60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5693F081" w14:textId="77777777" w:rsidR="003051FA" w:rsidRPr="00AD305E" w:rsidRDefault="003051FA" w:rsidP="003051FA">
      <w:pPr>
        <w:pStyle w:val="ThnVnban"/>
        <w:shd w:val="clear" w:color="auto" w:fill="auto"/>
        <w:tabs>
          <w:tab w:val="left" w:pos="107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ĐKDT:</w:t>
      </w:r>
    </w:p>
    <w:p w14:paraId="047E6334" w14:textId="77777777" w:rsidR="003051FA" w:rsidRPr="00AD305E" w:rsidRDefault="003051FA" w:rsidP="003051FA">
      <w:pPr>
        <w:pStyle w:val="ThnVnban"/>
        <w:shd w:val="clear" w:color="auto" w:fill="auto"/>
        <w:tabs>
          <w:tab w:val="left" w:pos="107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giống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kèm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lệ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khẩu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khẩu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4x6 </w:t>
      </w:r>
      <w:r w:rsidRPr="00AD305E">
        <w:rPr>
          <w:rStyle w:val="ThnVnbanChar"/>
          <w:color w:val="000000"/>
          <w:sz w:val="28"/>
          <w:szCs w:val="28"/>
        </w:rPr>
        <w:t>cm;</w:t>
      </w:r>
    </w:p>
    <w:p w14:paraId="7FB0694D" w14:textId="77777777" w:rsidR="003051FA" w:rsidRPr="00AD305E" w:rsidRDefault="003051FA" w:rsidP="003051FA">
      <w:pPr>
        <w:pStyle w:val="ThnVnban"/>
        <w:shd w:val="clear" w:color="auto" w:fill="auto"/>
        <w:tabs>
          <w:tab w:val="left" w:pos="109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thêm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THCS;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2DC49DA5" w14:textId="77777777" w:rsidR="003051FA" w:rsidRPr="00AD305E" w:rsidRDefault="003051FA" w:rsidP="003051FA">
      <w:pPr>
        <w:pStyle w:val="ThnVnban"/>
        <w:shd w:val="clear" w:color="auto" w:fill="auto"/>
        <w:tabs>
          <w:tab w:val="left" w:pos="108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giống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THPT;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4x6 </w:t>
      </w:r>
      <w:proofErr w:type="gramStart"/>
      <w:r w:rsidRPr="00AD305E">
        <w:rPr>
          <w:rStyle w:val="ThnVnbanChar"/>
          <w:color w:val="000000"/>
          <w:sz w:val="28"/>
          <w:szCs w:val="28"/>
        </w:rPr>
        <w:t>cm;</w:t>
      </w:r>
      <w:proofErr w:type="gramEnd"/>
    </w:p>
    <w:p w14:paraId="6AE0815B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giống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02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4x6 </w:t>
      </w:r>
      <w:r w:rsidRPr="00AD305E">
        <w:rPr>
          <w:rStyle w:val="ThnVnbanChar"/>
          <w:color w:val="000000"/>
          <w:sz w:val="28"/>
          <w:szCs w:val="28"/>
        </w:rPr>
        <w:t xml:space="preserve">cm;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THCS,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GDĐT.</w:t>
      </w:r>
    </w:p>
    <w:p w14:paraId="41CF65A9" w14:textId="77777777" w:rsidR="003051FA" w:rsidRPr="00AD305E" w:rsidRDefault="003051FA" w:rsidP="003051FA">
      <w:pPr>
        <w:pStyle w:val="ThnVnban"/>
        <w:shd w:val="clear" w:color="auto" w:fill="auto"/>
        <w:tabs>
          <w:tab w:val="left" w:pos="108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ĐKDT:</w:t>
      </w:r>
    </w:p>
    <w:p w14:paraId="4C7BE9EC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GDĐT.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nhầm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sót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kịp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chữa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sung.</w:t>
      </w:r>
    </w:p>
    <w:p w14:paraId="48C9E14B" w14:textId="77777777" w:rsidR="003051FA" w:rsidRPr="00AD305E" w:rsidRDefault="003051FA" w:rsidP="003051FA">
      <w:pPr>
        <w:pStyle w:val="ThnVnban"/>
        <w:shd w:val="clear" w:color="auto" w:fill="auto"/>
        <w:tabs>
          <w:tab w:val="left" w:pos="109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ĐKDT:</w:t>
      </w:r>
    </w:p>
    <w:p w14:paraId="03D4DCEE" w14:textId="77777777" w:rsidR="003051FA" w:rsidRPr="00AD305E" w:rsidRDefault="003051FA" w:rsidP="003051FA">
      <w:pPr>
        <w:pStyle w:val="ThnVnban"/>
        <w:shd w:val="clear" w:color="auto" w:fill="auto"/>
        <w:tabs>
          <w:tab w:val="left" w:pos="109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GDĐT;</w:t>
      </w:r>
      <w:proofErr w:type="gramEnd"/>
    </w:p>
    <w:p w14:paraId="182C5268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GDĐT;</w:t>
      </w:r>
      <w:proofErr w:type="gramEnd"/>
    </w:p>
    <w:p w14:paraId="77621F3E" w14:textId="77777777" w:rsidR="003051FA" w:rsidRPr="00AD305E" w:rsidRDefault="003051FA" w:rsidP="003051FA">
      <w:pPr>
        <w:pStyle w:val="ThnVnban"/>
        <w:shd w:val="clear" w:color="auto" w:fill="auto"/>
        <w:tabs>
          <w:tab w:val="left" w:pos="109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chịu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duyệt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chậm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>GDĐT;</w:t>
      </w:r>
    </w:p>
    <w:p w14:paraId="0A5587F6" w14:textId="77777777" w:rsidR="003051FA" w:rsidRPr="00AD305E" w:rsidRDefault="003051FA" w:rsidP="003051FA">
      <w:pPr>
        <w:pStyle w:val="ThnVnban"/>
        <w:shd w:val="clear" w:color="auto" w:fill="auto"/>
        <w:tabs>
          <w:tab w:val="left" w:pos="109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gửi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GDĐT;</w:t>
      </w:r>
      <w:proofErr w:type="gramEnd"/>
    </w:p>
    <w:p w14:paraId="0E4D945A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đ)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51410C13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14.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sinh</w:t>
      </w:r>
      <w:proofErr w:type="spellEnd"/>
    </w:p>
    <w:p w14:paraId="47790467" w14:textId="77777777" w:rsidR="003051FA" w:rsidRPr="00AD305E" w:rsidRDefault="003051FA" w:rsidP="003051FA">
      <w:pPr>
        <w:pStyle w:val="ThnVnban"/>
        <w:shd w:val="clear" w:color="auto" w:fill="auto"/>
        <w:tabs>
          <w:tab w:val="left" w:pos="31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GDĐT,</w:t>
      </w:r>
    </w:p>
    <w:p w14:paraId="08AAB28C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mặt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đúng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17905125" w14:textId="77777777" w:rsidR="003051FA" w:rsidRPr="00AD305E" w:rsidRDefault="003051FA" w:rsidP="003051FA">
      <w:pPr>
        <w:pStyle w:val="ThnVnban"/>
        <w:shd w:val="clear" w:color="auto" w:fill="auto"/>
        <w:tabs>
          <w:tab w:val="left" w:pos="109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1685B955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thấy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sót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coi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(CBCT)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vụ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kịp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2323B0E5" w14:textId="77777777" w:rsidR="003051FA" w:rsidRPr="00AD305E" w:rsidRDefault="003051FA" w:rsidP="003051FA">
      <w:pPr>
        <w:pStyle w:val="ThnVnban"/>
        <w:shd w:val="clear" w:color="auto" w:fill="auto"/>
        <w:tabs>
          <w:tab w:val="left" w:pos="112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2B4611D1" w14:textId="77777777" w:rsidR="003051FA" w:rsidRPr="00AD305E" w:rsidRDefault="003051FA" w:rsidP="003051FA">
      <w:pPr>
        <w:pStyle w:val="ThnVnban"/>
        <w:shd w:val="clear" w:color="auto" w:fill="auto"/>
        <w:tabs>
          <w:tab w:val="left" w:pos="109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mặt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đúng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Coi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chậm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3A26437C" w14:textId="77777777" w:rsidR="003051FA" w:rsidRPr="00AD305E" w:rsidRDefault="003051FA" w:rsidP="003051FA">
      <w:pPr>
        <w:pStyle w:val="ThnVnban"/>
        <w:shd w:val="clear" w:color="auto" w:fill="auto"/>
        <w:tabs>
          <w:tab w:val="left" w:pos="111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68F7CD9A" w14:textId="77777777" w:rsidR="003051FA" w:rsidRPr="00AD305E" w:rsidRDefault="003051FA" w:rsidP="003051FA">
      <w:pPr>
        <w:pStyle w:val="ThnVnban"/>
        <w:shd w:val="clear" w:color="auto" w:fill="auto"/>
        <w:tabs>
          <w:tab w:val="left" w:pos="112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CBCT;</w:t>
      </w:r>
      <w:proofErr w:type="gramEnd"/>
    </w:p>
    <w:p w14:paraId="059779D2" w14:textId="77777777" w:rsidR="003051FA" w:rsidRPr="00AD305E" w:rsidRDefault="003051FA" w:rsidP="003051FA">
      <w:pPr>
        <w:pStyle w:val="ThnVnban"/>
        <w:shd w:val="clear" w:color="auto" w:fill="auto"/>
        <w:tabs>
          <w:tab w:val="left" w:pos="115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Ngồi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đúng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1F291DD8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nháp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076AB5EC" w14:textId="77777777" w:rsidR="003051FA" w:rsidRPr="00AD305E" w:rsidRDefault="003051FA" w:rsidP="003051FA">
      <w:pPr>
        <w:pStyle w:val="ThnVnban"/>
        <w:shd w:val="clear" w:color="auto" w:fill="auto"/>
        <w:tabs>
          <w:tab w:val="left" w:pos="113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kỹ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in;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hỏng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nhoè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chậm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05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23D1D908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đ)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muốn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ý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ý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447FC785" w14:textId="77777777" w:rsidR="003051FA" w:rsidRPr="00AD305E" w:rsidRDefault="003051FA" w:rsidP="003051FA">
      <w:pPr>
        <w:pStyle w:val="ThnVnban"/>
        <w:shd w:val="clear" w:color="auto" w:fill="auto"/>
        <w:tabs>
          <w:tab w:val="left" w:pos="112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e)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dấu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riêng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tô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ô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màu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màu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đỏ</w:t>
      </w:r>
      <w:proofErr w:type="spellEnd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);</w:t>
      </w:r>
      <w:proofErr w:type="gramEnd"/>
    </w:p>
    <w:p w14:paraId="75161B52" w14:textId="77777777" w:rsidR="003051FA" w:rsidRPr="00AD305E" w:rsidRDefault="003051FA" w:rsidP="003051FA">
      <w:pPr>
        <w:pStyle w:val="ThnVnban"/>
        <w:shd w:val="clear" w:color="auto" w:fill="auto"/>
        <w:tabs>
          <w:tab w:val="left" w:pos="114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g)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ngừng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6C23091B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h)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nguyên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vẹn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ý can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17213571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rõ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);</w:t>
      </w:r>
    </w:p>
    <w:p w14:paraId="700BE16D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k)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2/3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kèm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12D40757" w14:textId="77777777" w:rsidR="003051FA" w:rsidRPr="00AD305E" w:rsidRDefault="003051FA" w:rsidP="003051FA">
      <w:pPr>
        <w:pStyle w:val="ThnVnban"/>
        <w:shd w:val="clear" w:color="auto" w:fill="auto"/>
        <w:tabs>
          <w:tab w:val="left" w:pos="102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l)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chịu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6B2A4814" w14:textId="77777777" w:rsidR="003051FA" w:rsidRPr="00AD305E" w:rsidRDefault="003051FA" w:rsidP="003051FA">
      <w:pPr>
        <w:pStyle w:val="ThnVnban"/>
        <w:shd w:val="clear" w:color="auto" w:fill="auto"/>
        <w:tabs>
          <w:tab w:val="left" w:pos="115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m)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compa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máy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bỏ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túi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soạn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nhớ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cụ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GDĐT);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Atlat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Nam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dấu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thêm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Nam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máy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âm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nghe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âm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hỗ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501C1F4D" w14:textId="77777777" w:rsidR="003051FA" w:rsidRPr="00AD305E" w:rsidRDefault="003051FA" w:rsidP="003051FA">
      <w:pPr>
        <w:pStyle w:val="ThnVnban"/>
        <w:shd w:val="clear" w:color="auto" w:fill="auto"/>
        <w:tabs>
          <w:tab w:val="left" w:pos="116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n)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than,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xoá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uống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cồn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cháy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61E9A683" w14:textId="77777777" w:rsidR="003051FA" w:rsidRPr="00AD305E" w:rsidRDefault="003051FA" w:rsidP="003051FA">
      <w:pPr>
        <w:pStyle w:val="ThnVnban"/>
        <w:shd w:val="clear" w:color="auto" w:fill="auto"/>
        <w:tabs>
          <w:tab w:val="left" w:pos="103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5.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5BA5CBC0" w14:textId="77777777" w:rsidR="003051FA" w:rsidRPr="00AD305E" w:rsidRDefault="003051FA" w:rsidP="003051FA">
      <w:pPr>
        <w:pStyle w:val="ThnVnban"/>
        <w:shd w:val="clear" w:color="auto" w:fill="auto"/>
        <w:tabs>
          <w:tab w:val="left" w:pos="105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TLTN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sẵn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tô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ô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ô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ô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tô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nhầm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muốn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câu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tẩy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ô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rồi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tô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ô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chọn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02866EA1" w14:textId="77777777" w:rsidR="003051FA" w:rsidRPr="00AD305E" w:rsidRDefault="003051FA" w:rsidP="003051FA">
      <w:pPr>
        <w:pStyle w:val="ThnVnban"/>
        <w:shd w:val="clear" w:color="auto" w:fill="auto"/>
        <w:tabs>
          <w:tab w:val="left" w:pos="107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trống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phía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tô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phía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7A4EBCD9" w14:textId="77777777" w:rsidR="003051FA" w:rsidRPr="00AD305E" w:rsidRDefault="003051FA" w:rsidP="003051FA">
      <w:pPr>
        <w:pStyle w:val="ThnVnban"/>
        <w:shd w:val="clear" w:color="auto" w:fill="auto"/>
        <w:tabs>
          <w:tab w:val="left" w:pos="107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c)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ý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KHXH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chậm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05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phút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39AFD10A" w14:textId="77777777" w:rsidR="003051FA" w:rsidRPr="00AD305E" w:rsidRDefault="003051FA" w:rsidP="003051FA">
      <w:pPr>
        <w:pStyle w:val="ThnVnban"/>
        <w:shd w:val="clear" w:color="auto" w:fill="auto"/>
        <w:tabs>
          <w:tab w:val="left" w:pos="107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câu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28F32EF2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đ)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145CCA3D" w14:textId="77777777" w:rsidR="003051FA" w:rsidRPr="00AD305E" w:rsidRDefault="003051FA" w:rsidP="003051FA">
      <w:pPr>
        <w:pStyle w:val="ThnVnban"/>
        <w:shd w:val="clear" w:color="auto" w:fill="auto"/>
        <w:tabs>
          <w:tab w:val="left" w:pos="107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e)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Phiếu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TLTN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6C75536" w14:textId="77777777" w:rsidR="003051FA" w:rsidRPr="00AD305E" w:rsidRDefault="003051FA" w:rsidP="003051FA">
      <w:pPr>
        <w:pStyle w:val="ThnVnban"/>
        <w:shd w:val="clear" w:color="auto" w:fill="auto"/>
        <w:tabs>
          <w:tab w:val="left" w:pos="1039"/>
        </w:tabs>
        <w:spacing w:after="0" w:line="240" w:lineRule="auto"/>
        <w:ind w:firstLine="720"/>
        <w:jc w:val="both"/>
        <w:rPr>
          <w:rStyle w:val="ThnVnbanChar"/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6. Khi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xảy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681CC44B" w14:textId="77777777" w:rsidR="003051FA" w:rsidRPr="00AD305E" w:rsidRDefault="003051FA" w:rsidP="003051FA">
      <w:pPr>
        <w:pStyle w:val="ThnVnban"/>
        <w:shd w:val="clear" w:color="auto" w:fill="auto"/>
        <w:tabs>
          <w:tab w:val="left" w:pos="1039"/>
        </w:tabs>
        <w:spacing w:after="0" w:line="240" w:lineRule="auto"/>
        <w:ind w:firstLine="0"/>
        <w:jc w:val="center"/>
        <w:rPr>
          <w:rStyle w:val="ThnVnbanChar"/>
          <w:color w:val="000000"/>
          <w:sz w:val="28"/>
          <w:szCs w:val="28"/>
          <w:lang w:eastAsia="vi-VN"/>
        </w:rPr>
      </w:pPr>
    </w:p>
    <w:p w14:paraId="32A35C9F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35.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THPT</w:t>
      </w:r>
    </w:p>
    <w:p w14:paraId="4024FE67" w14:textId="77777777" w:rsidR="003051FA" w:rsidRPr="00AD305E" w:rsidRDefault="003051FA" w:rsidP="003051FA">
      <w:pPr>
        <w:pStyle w:val="ThnVnban"/>
        <w:shd w:val="clear" w:color="auto" w:fill="auto"/>
        <w:tabs>
          <w:tab w:val="left" w:pos="110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6640898F" w14:textId="77777777" w:rsidR="003051FA" w:rsidRPr="00AD305E" w:rsidRDefault="003051FA" w:rsidP="003051FA">
      <w:pPr>
        <w:pStyle w:val="ThnVnban"/>
        <w:shd w:val="clear" w:color="auto" w:fill="auto"/>
        <w:tabs>
          <w:tab w:val="left" w:pos="110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Olympic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GDĐT;</w:t>
      </w:r>
      <w:proofErr w:type="gramEnd"/>
    </w:p>
    <w:p w14:paraId="54EA327A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GDĐT.</w:t>
      </w:r>
    </w:p>
    <w:p w14:paraId="379F5201" w14:textId="77777777" w:rsidR="003051FA" w:rsidRPr="00AD305E" w:rsidRDefault="003051FA" w:rsidP="003051FA">
      <w:pPr>
        <w:pStyle w:val="ThnVnban"/>
        <w:shd w:val="clear" w:color="auto" w:fill="auto"/>
        <w:tabs>
          <w:tab w:val="left" w:pos="109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</w:t>
      </w:r>
    </w:p>
    <w:p w14:paraId="7619C87A" w14:textId="77777777" w:rsidR="003051FA" w:rsidRPr="00AD305E" w:rsidRDefault="003051FA" w:rsidP="003051FA">
      <w:pPr>
        <w:pStyle w:val="ThnVnban"/>
        <w:shd w:val="clear" w:color="auto" w:fill="auto"/>
        <w:tabs>
          <w:tab w:val="left" w:pos="108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562CE189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36.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THPT</w:t>
      </w:r>
    </w:p>
    <w:p w14:paraId="12D5304B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chọn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Olympic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Olympic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17AA79D3" w14:textId="77777777" w:rsidR="003051FA" w:rsidRPr="00AD305E" w:rsidRDefault="003051FA" w:rsidP="003051FA">
      <w:pPr>
        <w:pStyle w:val="ThnVnban"/>
        <w:shd w:val="clear" w:color="auto" w:fill="auto"/>
        <w:tabs>
          <w:tab w:val="left" w:pos="110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12;</w:t>
      </w:r>
      <w:proofErr w:type="gramEnd"/>
    </w:p>
    <w:p w14:paraId="02105F8F" w14:textId="77777777" w:rsidR="003051FA" w:rsidRPr="00AD305E" w:rsidRDefault="003051FA" w:rsidP="003051FA">
      <w:pPr>
        <w:pStyle w:val="ThnVnban"/>
        <w:shd w:val="clear" w:color="auto" w:fill="auto"/>
        <w:tabs>
          <w:tab w:val="left" w:pos="114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492EA480" w14:textId="77777777" w:rsidR="003051FA" w:rsidRPr="00AD305E" w:rsidRDefault="003051FA" w:rsidP="003051FA">
      <w:pPr>
        <w:pStyle w:val="ThnVnban"/>
        <w:shd w:val="clear" w:color="auto" w:fill="auto"/>
        <w:tabs>
          <w:tab w:val="left" w:pos="114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GDĐT.</w:t>
      </w:r>
    </w:p>
    <w:p w14:paraId="1D699B25" w14:textId="77777777" w:rsidR="003051FA" w:rsidRPr="00AD305E" w:rsidRDefault="003051FA" w:rsidP="003051FA">
      <w:pPr>
        <w:pStyle w:val="ThnVnban"/>
        <w:shd w:val="clear" w:color="auto" w:fill="auto"/>
        <w:tabs>
          <w:tab w:val="left" w:pos="108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Olympic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Olympic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khoa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kỹ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-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nghệ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7771A059" w14:textId="77777777" w:rsidR="003051FA" w:rsidRPr="00AD305E" w:rsidRDefault="003051FA" w:rsidP="003051FA">
      <w:pPr>
        <w:pStyle w:val="ThnVnban"/>
        <w:shd w:val="clear" w:color="auto" w:fill="auto"/>
        <w:tabs>
          <w:tab w:val="left" w:pos="112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12;</w:t>
      </w:r>
      <w:proofErr w:type="gramEnd"/>
    </w:p>
    <w:p w14:paraId="5D21623A" w14:textId="77777777" w:rsidR="003051FA" w:rsidRPr="00AD305E" w:rsidRDefault="003051FA" w:rsidP="003051FA">
      <w:pPr>
        <w:pStyle w:val="ThnVnban"/>
        <w:shd w:val="clear" w:color="auto" w:fill="auto"/>
        <w:tabs>
          <w:tab w:val="left" w:pos="114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64C23A7D" w14:textId="77777777" w:rsidR="003051FA" w:rsidRPr="00AD305E" w:rsidRDefault="003051FA" w:rsidP="003051FA">
      <w:pPr>
        <w:pStyle w:val="ThnVnban"/>
        <w:shd w:val="clear" w:color="auto" w:fill="auto"/>
        <w:tabs>
          <w:tab w:val="left" w:pos="112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huấn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đúng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chọn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gửi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</w:t>
      </w:r>
    </w:p>
    <w:p w14:paraId="0A4AAB13" w14:textId="77777777" w:rsidR="003051FA" w:rsidRPr="00AD305E" w:rsidRDefault="003051FA" w:rsidP="003051FA">
      <w:pPr>
        <w:pStyle w:val="ThnVnban"/>
        <w:shd w:val="clear" w:color="auto" w:fill="auto"/>
        <w:tabs>
          <w:tab w:val="left" w:pos="108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nặng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nặng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28/2012/NĐ-CP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2012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61%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61%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6D91AD53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08B3368D" w14:textId="77777777" w:rsidR="003051FA" w:rsidRPr="00AD305E" w:rsidRDefault="003051FA" w:rsidP="003051FA">
      <w:pPr>
        <w:pStyle w:val="ThnVnban"/>
        <w:shd w:val="clear" w:color="auto" w:fill="auto"/>
        <w:tabs>
          <w:tab w:val="left" w:pos="111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THPT;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5E407A31" w14:textId="77777777" w:rsidR="003051FA" w:rsidRPr="00AD305E" w:rsidRDefault="003051FA" w:rsidP="003051FA">
      <w:pPr>
        <w:pStyle w:val="ThnVnban"/>
        <w:shd w:val="clear" w:color="auto" w:fill="auto"/>
        <w:tabs>
          <w:tab w:val="left" w:pos="112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đẻ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61%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6A9C81C4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37.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THPT</w:t>
      </w:r>
    </w:p>
    <w:p w14:paraId="112B1F7C" w14:textId="77777777" w:rsidR="003051FA" w:rsidRPr="00AD305E" w:rsidRDefault="003051FA" w:rsidP="003051FA">
      <w:pPr>
        <w:pStyle w:val="ThnVnban"/>
        <w:shd w:val="clear" w:color="auto" w:fill="auto"/>
        <w:tabs>
          <w:tab w:val="left" w:pos="108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ốm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3E63A560" w14:textId="77777777" w:rsidR="003051FA" w:rsidRPr="00AD305E" w:rsidRDefault="003051FA" w:rsidP="003051FA">
      <w:pPr>
        <w:pStyle w:val="ThnVnban"/>
        <w:shd w:val="clear" w:color="auto" w:fill="auto"/>
        <w:tabs>
          <w:tab w:val="left" w:pos="110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0FCC18BD" w14:textId="77777777" w:rsidR="003051FA" w:rsidRPr="00AD305E" w:rsidRDefault="003051FA" w:rsidP="003051FA">
      <w:pPr>
        <w:pStyle w:val="ThnVnban"/>
        <w:shd w:val="clear" w:color="auto" w:fill="auto"/>
        <w:tabs>
          <w:tab w:val="left" w:pos="110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huyện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ốm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UBND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12.</w:t>
      </w:r>
    </w:p>
    <w:p w14:paraId="23DDBB5E" w14:textId="77777777" w:rsidR="003051FA" w:rsidRPr="00AD305E" w:rsidRDefault="003051FA" w:rsidP="003051FA">
      <w:pPr>
        <w:pStyle w:val="ThnVnban"/>
        <w:shd w:val="clear" w:color="auto" w:fill="auto"/>
        <w:tabs>
          <w:tab w:val="left" w:pos="109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ốm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hay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ốm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hay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nguyện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còn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0C69BB2D" w14:textId="77777777" w:rsidR="003051FA" w:rsidRPr="00AD305E" w:rsidRDefault="003051FA" w:rsidP="003051FA">
      <w:pPr>
        <w:pStyle w:val="ThnVnban"/>
        <w:shd w:val="clear" w:color="auto" w:fill="auto"/>
        <w:tabs>
          <w:tab w:val="left" w:pos="109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5,0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4F3E5F66" w14:textId="77777777" w:rsidR="003051FA" w:rsidRPr="00AD305E" w:rsidRDefault="003051FA" w:rsidP="003051FA">
      <w:pPr>
        <w:pStyle w:val="ThnVnban"/>
        <w:shd w:val="clear" w:color="auto" w:fill="auto"/>
        <w:tabs>
          <w:tab w:val="left" w:pos="11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huyện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ốm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UBND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cu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12.</w:t>
      </w:r>
    </w:p>
    <w:p w14:paraId="26DEB2C9" w14:textId="77777777" w:rsidR="003051FA" w:rsidRPr="00AD305E" w:rsidRDefault="003051FA" w:rsidP="003051FA">
      <w:pPr>
        <w:pStyle w:val="ThnVnban"/>
        <w:shd w:val="clear" w:color="auto" w:fill="auto"/>
        <w:tabs>
          <w:tab w:val="left" w:pos="108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36/2019/NĐ-CP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29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2019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87D7D9E" w14:textId="77777777" w:rsidR="003051FA" w:rsidRPr="00AD305E" w:rsidRDefault="003051FA" w:rsidP="003051FA">
      <w:pPr>
        <w:pStyle w:val="ThnVnban"/>
        <w:shd w:val="clear" w:color="auto" w:fill="auto"/>
        <w:tabs>
          <w:tab w:val="left" w:pos="110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114903DF" w14:textId="77777777" w:rsidR="003051FA" w:rsidRPr="00AD305E" w:rsidRDefault="003051FA" w:rsidP="003051FA">
      <w:pPr>
        <w:pStyle w:val="ThnVnban"/>
        <w:shd w:val="clear" w:color="auto" w:fill="auto"/>
        <w:tabs>
          <w:tab w:val="left" w:pos="109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Chậm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07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cuối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đơn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chịu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chuyển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GDĐT;</w:t>
      </w:r>
      <w:proofErr w:type="gramEnd"/>
    </w:p>
    <w:p w14:paraId="392643F3" w14:textId="77777777" w:rsidR="003051FA" w:rsidRPr="00AD305E" w:rsidRDefault="003051FA" w:rsidP="003051FA">
      <w:pPr>
        <w:pStyle w:val="ThnVnban"/>
        <w:shd w:val="clear" w:color="auto" w:fill="auto"/>
        <w:tabs>
          <w:tab w:val="left" w:pos="11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0C099520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38.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</w:p>
    <w:p w14:paraId="66AAA9EA" w14:textId="77777777" w:rsidR="003051FA" w:rsidRPr="00AD305E" w:rsidRDefault="003051FA" w:rsidP="003051FA">
      <w:pPr>
        <w:pStyle w:val="ThnVnban"/>
        <w:shd w:val="clear" w:color="auto" w:fill="auto"/>
        <w:tabs>
          <w:tab w:val="left" w:pos="108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/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kỷ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5,0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</w:t>
      </w:r>
    </w:p>
    <w:p w14:paraId="3C45662D" w14:textId="77777777" w:rsidR="003051FA" w:rsidRPr="00AD305E" w:rsidRDefault="003051FA" w:rsidP="003051FA">
      <w:pPr>
        <w:pStyle w:val="ThnVnban"/>
        <w:shd w:val="clear" w:color="auto" w:fill="auto"/>
        <w:tabs>
          <w:tab w:val="left" w:pos="109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/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D6DA2F7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39.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tiên</w:t>
      </w:r>
      <w:proofErr w:type="spellEnd"/>
    </w:p>
    <w:p w14:paraId="0211B6AD" w14:textId="77777777" w:rsidR="003051FA" w:rsidRPr="00AD305E" w:rsidRDefault="003051FA" w:rsidP="003051FA">
      <w:pPr>
        <w:pStyle w:val="ThnVnban"/>
        <w:shd w:val="clear" w:color="auto" w:fill="auto"/>
        <w:tabs>
          <w:tab w:val="left" w:pos="108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7C99AF42" w14:textId="77777777" w:rsidR="003051FA" w:rsidRPr="00AD305E" w:rsidRDefault="003051FA" w:rsidP="003051FA">
      <w:pPr>
        <w:pStyle w:val="ThnVnban"/>
        <w:shd w:val="clear" w:color="auto" w:fill="auto"/>
        <w:tabs>
          <w:tab w:val="left" w:pos="111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0,25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2EE581D3" w14:textId="77777777" w:rsidR="003051FA" w:rsidRPr="00AD305E" w:rsidRDefault="003051FA" w:rsidP="003051FA">
      <w:pPr>
        <w:pStyle w:val="ThnVnban"/>
        <w:shd w:val="clear" w:color="auto" w:fill="auto"/>
        <w:tabs>
          <w:tab w:val="left" w:pos="109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81 %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);</w:t>
      </w:r>
      <w:proofErr w:type="gramEnd"/>
    </w:p>
    <w:p w14:paraId="35B23606" w14:textId="77777777" w:rsidR="003051FA" w:rsidRPr="00AD305E" w:rsidRDefault="003051FA" w:rsidP="003051FA">
      <w:pPr>
        <w:pStyle w:val="ThnVnban"/>
        <w:shd w:val="clear" w:color="auto" w:fill="auto"/>
        <w:tabs>
          <w:tab w:val="left" w:pos="39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81%; Anh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Anh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mẹ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Nam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anh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Anh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Anh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10CF4AC4" w14:textId="77777777" w:rsidR="003051FA" w:rsidRPr="00AD305E" w:rsidRDefault="003051FA" w:rsidP="003051FA">
      <w:pPr>
        <w:pStyle w:val="ThnVnban"/>
        <w:shd w:val="clear" w:color="auto" w:fill="auto"/>
        <w:tabs>
          <w:tab w:val="left" w:pos="109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thiểu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7B73F8B9" w14:textId="77777777" w:rsidR="003051FA" w:rsidRPr="00AD305E" w:rsidRDefault="003051FA" w:rsidP="003051FA">
      <w:pPr>
        <w:pStyle w:val="ThnVnban"/>
        <w:shd w:val="clear" w:color="auto" w:fill="auto"/>
        <w:tabs>
          <w:tab w:val="left" w:pos="109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nước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Nam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khẩu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135;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ven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I,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II, </w:t>
      </w:r>
      <w:r w:rsidRPr="00AD305E">
        <w:rPr>
          <w:rStyle w:val="ThnVnbanChar"/>
          <w:color w:val="000000"/>
          <w:sz w:val="28"/>
          <w:szCs w:val="28"/>
        </w:rPr>
        <w:t xml:space="preserve">III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núi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nằm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THPT;</w:t>
      </w:r>
    </w:p>
    <w:p w14:paraId="2B19C1E7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đ)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chiến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nhiễm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hậu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16307597" w14:textId="77777777" w:rsidR="003051FA" w:rsidRPr="00AD305E" w:rsidRDefault="003051FA" w:rsidP="003051FA">
      <w:pPr>
        <w:pStyle w:val="ThnVnban"/>
        <w:shd w:val="clear" w:color="auto" w:fill="auto"/>
        <w:tabs>
          <w:tab w:val="left" w:pos="11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e)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GDTX).</w:t>
      </w:r>
    </w:p>
    <w:p w14:paraId="5C1BDDF2" w14:textId="77777777" w:rsidR="003051FA" w:rsidRPr="00AD305E" w:rsidRDefault="003051FA" w:rsidP="003051FA">
      <w:pPr>
        <w:pStyle w:val="ThnVnban"/>
        <w:shd w:val="clear" w:color="auto" w:fill="auto"/>
        <w:tabs>
          <w:tab w:val="left" w:pos="108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0,5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341E80AE" w14:textId="77777777" w:rsidR="003051FA" w:rsidRPr="00AD305E" w:rsidRDefault="003051FA" w:rsidP="003051FA">
      <w:pPr>
        <w:pStyle w:val="ThnVnban"/>
        <w:shd w:val="clear" w:color="auto" w:fill="auto"/>
        <w:tabs>
          <w:tab w:val="left" w:pos="107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thiểu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khẩu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135;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ven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I, II,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III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núi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tướng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trú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nằm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113B5F0B" w14:textId="77777777" w:rsidR="003051FA" w:rsidRPr="00AD305E" w:rsidRDefault="003051FA" w:rsidP="003051FA">
      <w:pPr>
        <w:pStyle w:val="ThnVnban"/>
        <w:shd w:val="clear" w:color="auto" w:fill="auto"/>
        <w:tabs>
          <w:tab w:val="left" w:pos="109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81 %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</w:t>
      </w:r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);</w:t>
      </w:r>
      <w:proofErr w:type="gramEnd"/>
    </w:p>
    <w:p w14:paraId="2DB9D594" w14:textId="77777777" w:rsidR="003051FA" w:rsidRPr="00AD305E" w:rsidRDefault="003051FA" w:rsidP="003051FA">
      <w:pPr>
        <w:pStyle w:val="ThnVnban"/>
        <w:shd w:val="clear" w:color="auto" w:fill="auto"/>
        <w:tabs>
          <w:tab w:val="left" w:pos="108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con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bệnh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lao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81%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D436B87" w14:textId="77777777" w:rsidR="003051FA" w:rsidRPr="00AD305E" w:rsidRDefault="003051FA" w:rsidP="003051FA">
      <w:pPr>
        <w:pStyle w:val="ThnVnban"/>
        <w:shd w:val="clear" w:color="auto" w:fill="auto"/>
        <w:tabs>
          <w:tab w:val="left" w:pos="105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chuẩn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chuẩn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2E80EEF0" w14:textId="77777777" w:rsidR="003051FA" w:rsidRPr="00AD305E" w:rsidRDefault="003051FA" w:rsidP="003051FA">
      <w:pPr>
        <w:pStyle w:val="ThnVnban"/>
        <w:shd w:val="clear" w:color="auto" w:fill="auto"/>
        <w:tabs>
          <w:tab w:val="left" w:pos="107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5.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235B3F50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40.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khích</w:t>
      </w:r>
      <w:proofErr w:type="spellEnd"/>
    </w:p>
    <w:p w14:paraId="7E989688" w14:textId="77777777" w:rsidR="003051FA" w:rsidRPr="00AD305E" w:rsidRDefault="003051FA" w:rsidP="003051FA">
      <w:pPr>
        <w:pStyle w:val="ThnVnban"/>
        <w:shd w:val="clear" w:color="auto" w:fill="auto"/>
        <w:tabs>
          <w:tab w:val="left" w:pos="105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THPT:</w:t>
      </w:r>
    </w:p>
    <w:p w14:paraId="3ED3E1A2" w14:textId="77777777" w:rsidR="003051FA" w:rsidRPr="00AD305E" w:rsidRDefault="003051FA" w:rsidP="003051FA">
      <w:pPr>
        <w:pStyle w:val="ThnVnban"/>
        <w:shd w:val="clear" w:color="auto" w:fill="auto"/>
        <w:tabs>
          <w:tab w:val="left" w:pos="1066"/>
        </w:tabs>
        <w:spacing w:after="120" w:line="240" w:lineRule="auto"/>
        <w:ind w:firstLine="720"/>
        <w:jc w:val="both"/>
        <w:rPr>
          <w:rStyle w:val="ThnVnbanChar"/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chọn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tỉnh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2,0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tỉnh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tỉnh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6183D200" w14:textId="77777777" w:rsidR="003051FA" w:rsidRPr="00AD305E" w:rsidRDefault="003051FA" w:rsidP="003051FA">
      <w:pPr>
        <w:pStyle w:val="ThnVnban"/>
        <w:shd w:val="clear" w:color="auto" w:fill="auto"/>
        <w:tabs>
          <w:tab w:val="left" w:pos="1075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nghệ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khoa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kỹ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chuyên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tỉnh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tỉnh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tỉnh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1,5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lượng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cầu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cụ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191C3526" w14:textId="77777777" w:rsidR="003051FA" w:rsidRPr="00AD305E" w:rsidRDefault="003051FA" w:rsidP="003051FA">
      <w:pPr>
        <w:pStyle w:val="ThnVnban"/>
        <w:shd w:val="clear" w:color="auto" w:fill="auto"/>
        <w:tabs>
          <w:tab w:val="left" w:pos="107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đoạt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cuộc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6A2FC2E7" w14:textId="77777777" w:rsidR="003051FA" w:rsidRPr="00AD305E" w:rsidRDefault="003051FA" w:rsidP="003051FA">
      <w:pPr>
        <w:pStyle w:val="ThnVnban"/>
        <w:shd w:val="clear" w:color="auto" w:fill="auto"/>
        <w:tabs>
          <w:tab w:val="left" w:pos="102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hóa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chương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dạy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4554F86D" w14:textId="77777777" w:rsidR="003051FA" w:rsidRPr="00AD305E" w:rsidRDefault="003051FA" w:rsidP="003051FA">
      <w:pPr>
        <w:pStyle w:val="ThnVnban"/>
        <w:shd w:val="clear" w:color="auto" w:fill="auto"/>
        <w:tabs>
          <w:tab w:val="left" w:pos="102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xuất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2,0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67CB45A3" w14:textId="77777777" w:rsidR="003051FA" w:rsidRPr="00AD305E" w:rsidRDefault="003051FA" w:rsidP="003051FA">
      <w:pPr>
        <w:pStyle w:val="ThnVnban"/>
        <w:shd w:val="clear" w:color="auto" w:fill="auto"/>
        <w:tabs>
          <w:tab w:val="left" w:pos="104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1,5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7C3B6876" w14:textId="77777777" w:rsidR="003051FA" w:rsidRPr="00AD305E" w:rsidRDefault="003051FA" w:rsidP="003051FA">
      <w:pPr>
        <w:pStyle w:val="ThnVnban"/>
        <w:shd w:val="clear" w:color="auto" w:fill="auto"/>
        <w:tabs>
          <w:tab w:val="left" w:pos="1100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0E236670" w14:textId="77777777" w:rsidR="003051FA" w:rsidRPr="00AD305E" w:rsidRDefault="003051FA" w:rsidP="003051FA">
      <w:pPr>
        <w:pStyle w:val="ThnVnban"/>
        <w:shd w:val="clear" w:color="auto" w:fill="auto"/>
        <w:tabs>
          <w:tab w:val="left" w:pos="103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GDTX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tin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7F1D9BFE" w14:textId="77777777" w:rsidR="003051FA" w:rsidRPr="00AD305E" w:rsidRDefault="003051FA" w:rsidP="003051FA">
      <w:pPr>
        <w:pStyle w:val="ThnVnban"/>
        <w:shd w:val="clear" w:color="auto" w:fill="auto"/>
        <w:tabs>
          <w:tab w:val="left" w:pos="102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thêm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2DF66027" w14:textId="77777777" w:rsidR="003051FA" w:rsidRPr="00AD305E" w:rsidRDefault="003051FA" w:rsidP="003051FA">
      <w:pPr>
        <w:pStyle w:val="ThnVnban"/>
        <w:shd w:val="clear" w:color="auto" w:fill="auto"/>
        <w:tabs>
          <w:tab w:val="left" w:pos="1041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5.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1,2, 3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cấp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5FD37BD4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41.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THPT</w:t>
      </w:r>
    </w:p>
    <w:p w14:paraId="4F424EAE" w14:textId="77777777" w:rsidR="003051FA" w:rsidRPr="00AD305E" w:rsidRDefault="003051FA" w:rsidP="003051FA">
      <w:pPr>
        <w:pStyle w:val="ThnVnban"/>
        <w:shd w:val="clear" w:color="auto" w:fill="auto"/>
        <w:tabs>
          <w:tab w:val="left" w:pos="103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(ĐXTN):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Gồm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lớp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12;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thang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ĐXTN.</w:t>
      </w:r>
    </w:p>
    <w:p w14:paraId="3DD13ACF" w14:textId="77777777" w:rsidR="003051FA" w:rsidRPr="00AD305E" w:rsidRDefault="003051FA" w:rsidP="003051FA">
      <w:pPr>
        <w:pStyle w:val="ThnVnban"/>
        <w:shd w:val="clear" w:color="auto" w:fill="auto"/>
        <w:tabs>
          <w:tab w:val="left" w:pos="1112"/>
        </w:tabs>
        <w:spacing w:after="120" w:line="240" w:lineRule="auto"/>
        <w:ind w:firstLine="720"/>
        <w:jc w:val="both"/>
        <w:rPr>
          <w:rStyle w:val="ThnVnbanChar"/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ĐXTN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học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1EC9E99F" w14:textId="77777777" w:rsidR="003051FA" w:rsidRPr="00AD305E" w:rsidRDefault="003051FA" w:rsidP="003051FA">
      <w:pPr>
        <w:pStyle w:val="ThnVnban"/>
        <w:shd w:val="clear" w:color="auto" w:fill="auto"/>
        <w:tabs>
          <w:tab w:val="left" w:pos="1112"/>
        </w:tabs>
        <w:spacing w:after="120" w:line="240" w:lineRule="auto"/>
        <w:ind w:firstLine="0"/>
        <w:jc w:val="both"/>
        <w:rPr>
          <w:sz w:val="28"/>
          <w:szCs w:val="28"/>
        </w:rPr>
      </w:pPr>
      <w:r w:rsidRPr="00AD305E">
        <w:rPr>
          <w:noProof/>
          <w:sz w:val="28"/>
          <w:szCs w:val="28"/>
        </w:rPr>
        <w:drawing>
          <wp:inline distT="0" distB="0" distL="0" distR="0" wp14:anchorId="09D68F84" wp14:editId="074C8044">
            <wp:extent cx="4838700" cy="1800225"/>
            <wp:effectExtent l="0" t="0" r="0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44B1C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ĐXTN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phân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mềm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máy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7C923C8C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42.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THPT</w:t>
      </w:r>
    </w:p>
    <w:p w14:paraId="1129BCBA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kỷ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ĐKDT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1,0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thang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10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ĐXTN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5,0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</w:t>
      </w:r>
    </w:p>
    <w:p w14:paraId="0939D469" w14:textId="77777777" w:rsidR="003051FA" w:rsidRPr="00AD305E" w:rsidRDefault="003051FA" w:rsidP="003051FA">
      <w:pPr>
        <w:pStyle w:val="ThnVnban"/>
        <w:shd w:val="clear" w:color="auto" w:fill="auto"/>
        <w:tabs>
          <w:tab w:val="left" w:pos="108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miễn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36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tốt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THPT.</w:t>
      </w:r>
    </w:p>
    <w:p w14:paraId="0A967366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54.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b/>
          <w:bCs/>
          <w:color w:val="000000"/>
          <w:sz w:val="28"/>
          <w:szCs w:val="28"/>
          <w:lang w:eastAsia="vi-VN"/>
        </w:rPr>
        <w:t>thi</w:t>
      </w:r>
      <w:proofErr w:type="spellEnd"/>
    </w:p>
    <w:p w14:paraId="48D5CCD2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kỷ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D1F7A0B" w14:textId="77777777" w:rsidR="003051FA" w:rsidRPr="00AD305E" w:rsidRDefault="003051FA" w:rsidP="003051FA">
      <w:pPr>
        <w:pStyle w:val="ThnVnban"/>
        <w:shd w:val="clear" w:color="auto" w:fill="auto"/>
        <w:tabs>
          <w:tab w:val="left" w:pos="104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1.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4B99C519" w14:textId="77777777" w:rsidR="003051FA" w:rsidRPr="00AD305E" w:rsidRDefault="003051FA" w:rsidP="003051FA">
      <w:pPr>
        <w:pStyle w:val="ThnVnban"/>
        <w:shd w:val="clear" w:color="auto" w:fill="auto"/>
        <w:tabs>
          <w:tab w:val="left" w:pos="109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nhìn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652B2666" w14:textId="77777777" w:rsidR="003051FA" w:rsidRPr="00AD305E" w:rsidRDefault="003051FA" w:rsidP="003051FA">
      <w:pPr>
        <w:pStyle w:val="ThnVnban"/>
        <w:shd w:val="clear" w:color="auto" w:fill="auto"/>
        <w:tabs>
          <w:tab w:val="left" w:pos="111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36CFA7C" w14:textId="77777777" w:rsidR="003051FA" w:rsidRPr="00AD305E" w:rsidRDefault="003051FA" w:rsidP="003051FA">
      <w:pPr>
        <w:pStyle w:val="ThnVnban"/>
        <w:shd w:val="clear" w:color="auto" w:fill="auto"/>
        <w:tabs>
          <w:tab w:val="left" w:pos="108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2.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46D2424F" w14:textId="77777777" w:rsidR="003051FA" w:rsidRPr="00AD305E" w:rsidRDefault="003051FA" w:rsidP="003051FA">
      <w:pPr>
        <w:pStyle w:val="ThnVnban"/>
        <w:shd w:val="clear" w:color="auto" w:fill="auto"/>
        <w:tabs>
          <w:tab w:val="left" w:pos="108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trao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đổi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0B46B3AF" w14:textId="77777777" w:rsidR="003051FA" w:rsidRPr="00AD305E" w:rsidRDefault="003051FA" w:rsidP="003051FA">
      <w:pPr>
        <w:pStyle w:val="ThnVnban"/>
        <w:shd w:val="clear" w:color="auto" w:fill="auto"/>
        <w:tabs>
          <w:tab w:val="left" w:pos="110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kỷ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r w:rsidRPr="00AD305E">
        <w:rPr>
          <w:rStyle w:val="ThnVnbanChar"/>
          <w:color w:val="000000"/>
          <w:sz w:val="28"/>
          <w:szCs w:val="28"/>
        </w:rPr>
        <w:t xml:space="preserve">do </w:t>
      </w: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kèm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).</w:t>
      </w:r>
    </w:p>
    <w:p w14:paraId="3267F207" w14:textId="77777777" w:rsidR="003051FA" w:rsidRPr="00AD305E" w:rsidRDefault="003051FA" w:rsidP="003051FA">
      <w:pPr>
        <w:pStyle w:val="ThnVnban"/>
        <w:shd w:val="clear" w:color="auto" w:fill="auto"/>
        <w:tabs>
          <w:tab w:val="left" w:pos="108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3.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58BCCBE3" w14:textId="77777777" w:rsidR="003051FA" w:rsidRPr="00AD305E" w:rsidRDefault="003051FA" w:rsidP="003051FA">
      <w:pPr>
        <w:pStyle w:val="ThnVnban"/>
        <w:shd w:val="clear" w:color="auto" w:fill="auto"/>
        <w:tabs>
          <w:tab w:val="left" w:pos="109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nhưng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vẫn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ở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14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ngoài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đe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dọa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hay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đe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dọa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5DE69908" w14:textId="77777777" w:rsidR="003051FA" w:rsidRPr="00AD305E" w:rsidRDefault="003051FA" w:rsidP="003051FA">
      <w:pPr>
        <w:pStyle w:val="ThnVnban"/>
        <w:shd w:val="clear" w:color="auto" w:fill="auto"/>
        <w:tabs>
          <w:tab w:val="left" w:pos="1108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tang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</w:rPr>
        <w:t>Nếu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Coi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phải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đề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CBCT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khỏi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vực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2/3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trắc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7289B260" w14:textId="77777777" w:rsidR="003051FA" w:rsidRPr="00AD305E" w:rsidRDefault="003051FA" w:rsidP="003051FA">
      <w:pPr>
        <w:pStyle w:val="ThnVnban"/>
        <w:shd w:val="clear" w:color="auto" w:fill="auto"/>
        <w:tabs>
          <w:tab w:val="left" w:pos="1104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4.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</w:p>
    <w:p w14:paraId="278D115A" w14:textId="77777777" w:rsidR="003051FA" w:rsidRPr="00AD305E" w:rsidRDefault="003051FA" w:rsidP="003051FA">
      <w:pPr>
        <w:pStyle w:val="ThnVnban"/>
        <w:shd w:val="clear" w:color="auto" w:fill="auto"/>
        <w:tabs>
          <w:tab w:val="left" w:pos="108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25%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69DF6290" w14:textId="77777777" w:rsidR="003051FA" w:rsidRPr="00AD305E" w:rsidRDefault="003051FA" w:rsidP="003051FA">
      <w:pPr>
        <w:pStyle w:val="ThnVnban"/>
        <w:shd w:val="clear" w:color="auto" w:fill="auto"/>
        <w:tabs>
          <w:tab w:val="left" w:pos="110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cảnh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50%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</w:rPr>
        <w:t>số</w:t>
      </w:r>
      <w:proofErr w:type="spellEnd"/>
      <w:r w:rsidRPr="00AD305E">
        <w:rPr>
          <w:rStyle w:val="ThnVnbanChar"/>
          <w:color w:val="000000"/>
          <w:sz w:val="28"/>
          <w:szCs w:val="28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39D52958" w14:textId="77777777" w:rsidR="003051FA" w:rsidRPr="00AD305E" w:rsidRDefault="003051FA" w:rsidP="003051FA">
      <w:pPr>
        <w:pStyle w:val="ThnVnban"/>
        <w:shd w:val="clear" w:color="auto" w:fill="auto"/>
        <w:tabs>
          <w:tab w:val="left" w:pos="111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đánh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dấu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50%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toàn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419FF88C" w14:textId="77777777" w:rsidR="003051FA" w:rsidRPr="00AD305E" w:rsidRDefault="003051FA" w:rsidP="003051FA">
      <w:pPr>
        <w:pStyle w:val="ThnVnban"/>
        <w:shd w:val="clear" w:color="auto" w:fill="auto"/>
        <w:tabs>
          <w:tab w:val="left" w:pos="111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Cho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mang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phép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phòng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chữ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phần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đúng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</w:p>
    <w:p w14:paraId="310EFC0F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rStyle w:val="ThnVnbanChar"/>
          <w:color w:val="000000"/>
          <w:sz w:val="28"/>
          <w:szCs w:val="28"/>
          <w:lang w:eastAsia="vi-VN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đ)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được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tiếp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26E8A630" w14:textId="77777777" w:rsidR="003051FA" w:rsidRPr="00AD305E" w:rsidRDefault="003051FA" w:rsidP="003051FA">
      <w:pPr>
        <w:pStyle w:val="ThnVnban"/>
        <w:shd w:val="clear" w:color="auto" w:fill="auto"/>
        <w:tabs>
          <w:tab w:val="left" w:pos="1107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e)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Việc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trừ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nêu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c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ban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môn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63C5801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5.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bỏ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: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hai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bị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0 (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) do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điểm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khoản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4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viết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tờ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dung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chữa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thêm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bớt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dùng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nộp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Chủ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tịch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Hội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đồng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sở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GDĐT ra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bỏ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1408ECAB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6.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Hủy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gửi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của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một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trong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lỗi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sau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:</w:t>
      </w:r>
    </w:p>
    <w:p w14:paraId="356C087B" w14:textId="77777777" w:rsidR="003051FA" w:rsidRPr="00AD305E" w:rsidRDefault="003051FA" w:rsidP="003051FA">
      <w:pPr>
        <w:pStyle w:val="ThnVnban"/>
        <w:shd w:val="clear" w:color="auto" w:fill="auto"/>
        <w:tabs>
          <w:tab w:val="left" w:pos="1112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lastRenderedPageBreak/>
        <w:t xml:space="preserve">a)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hưởng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chế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ưu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tiên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khuyến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khích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0C8E1E8B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b)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văn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bằng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chỉ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pháp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43367564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c)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Để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làm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bài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dưới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mọi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1B424E54" w14:textId="77777777" w:rsidR="003051FA" w:rsidRPr="00AD305E" w:rsidRDefault="003051FA" w:rsidP="003051FA">
      <w:pPr>
        <w:pStyle w:val="ThnVnban"/>
        <w:shd w:val="clear" w:color="auto" w:fill="auto"/>
        <w:tabs>
          <w:tab w:val="left" w:pos="1126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d)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gây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rối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hành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hung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những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người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tham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gia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tổ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hoặc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sinh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;</w:t>
      </w:r>
      <w:proofErr w:type="gramEnd"/>
    </w:p>
    <w:p w14:paraId="59C3AD8D" w14:textId="77777777" w:rsidR="003051FA" w:rsidRPr="00AD305E" w:rsidRDefault="003051FA" w:rsidP="003051FA">
      <w:pPr>
        <w:pStyle w:val="ThnVnban"/>
        <w:shd w:val="clear" w:color="auto" w:fill="auto"/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đ)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Giấy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chứng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nhận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kết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không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pháp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p w14:paraId="42E5ED8A" w14:textId="77777777" w:rsidR="003051FA" w:rsidRPr="00AD305E" w:rsidRDefault="003051FA" w:rsidP="003051FA">
      <w:pPr>
        <w:pStyle w:val="ThnVnban"/>
        <w:shd w:val="clear" w:color="auto" w:fill="auto"/>
        <w:tabs>
          <w:tab w:val="left" w:pos="1093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7.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dấu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hiệu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thì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quản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giáo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dục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lập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hồ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gửi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cơ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quan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thẩm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quyền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xem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xét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cứu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trách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nhiệm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sự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;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đối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với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trường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hợp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khác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,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tuỳ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tính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chất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và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mức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độ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vi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phạm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sẽ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xử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lý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kỷ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luật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theo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các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hình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thức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đã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quy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định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tại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Điều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 xml:space="preserve"> </w:t>
      </w:r>
      <w:proofErr w:type="spellStart"/>
      <w:r w:rsidRPr="00AD305E">
        <w:rPr>
          <w:rStyle w:val="ThnVnbanChar"/>
          <w:color w:val="000000"/>
          <w:sz w:val="28"/>
          <w:szCs w:val="28"/>
          <w:lang w:eastAsia="vi-VN"/>
        </w:rPr>
        <w:t>này</w:t>
      </w:r>
      <w:proofErr w:type="spellEnd"/>
      <w:r w:rsidRPr="00AD305E">
        <w:rPr>
          <w:rStyle w:val="ThnVnbanChar"/>
          <w:color w:val="000000"/>
          <w:sz w:val="28"/>
          <w:szCs w:val="28"/>
          <w:lang w:eastAsia="vi-VN"/>
        </w:rPr>
        <w:t>.</w:t>
      </w:r>
    </w:p>
    <w:sectPr w:rsidR="003051FA" w:rsidRPr="00AD305E" w:rsidSect="00AD305E"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FA"/>
    <w:rsid w:val="003051FA"/>
    <w:rsid w:val="00A2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8148"/>
  <w15:chartTrackingRefBased/>
  <w15:docId w15:val="{F1D9592A-96DE-40AB-BB96-CDDA00AD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051F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ThnVnbanChar">
    <w:name w:val="Thân Văn bản Char"/>
    <w:link w:val="ThnVnban"/>
    <w:uiPriority w:val="99"/>
    <w:rsid w:val="003051F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3051F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3051F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3051F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3051FA"/>
    <w:rPr>
      <w:rFonts w:ascii="Arial" w:hAnsi="Arial" w:cs="Arial"/>
      <w:smallCaps/>
      <w:sz w:val="26"/>
      <w:szCs w:val="26"/>
      <w:shd w:val="clear" w:color="auto" w:fill="FFFFFF"/>
    </w:rPr>
  </w:style>
  <w:style w:type="paragraph" w:styleId="ThnVnban">
    <w:name w:val="Body Text"/>
    <w:basedOn w:val="Binhthng"/>
    <w:link w:val="ThnVnbanChar"/>
    <w:uiPriority w:val="99"/>
    <w:qFormat/>
    <w:rsid w:val="003051FA"/>
    <w:pPr>
      <w:shd w:val="clear" w:color="auto" w:fill="FFFFFF"/>
      <w:spacing w:after="100" w:line="257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ThnVnbanChar1">
    <w:name w:val="Thân Văn bản Char1"/>
    <w:basedOn w:val="Phngmcinhcuaoanvn"/>
    <w:uiPriority w:val="99"/>
    <w:semiHidden/>
    <w:rsid w:val="003051F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BodyTextChar">
    <w:name w:val="Body Text Char"/>
    <w:uiPriority w:val="99"/>
    <w:semiHidden/>
    <w:rsid w:val="003051FA"/>
    <w:rPr>
      <w:rFonts w:cs="Courier New"/>
      <w:color w:val="000000"/>
      <w:lang w:val="vi-VN" w:eastAsia="vi-VN"/>
    </w:rPr>
  </w:style>
  <w:style w:type="paragraph" w:customStyle="1" w:styleId="Bodytext20">
    <w:name w:val="Body text (2)"/>
    <w:basedOn w:val="Binhthng"/>
    <w:link w:val="Bodytext2"/>
    <w:uiPriority w:val="99"/>
    <w:rsid w:val="003051FA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customStyle="1" w:styleId="Tablecaption0">
    <w:name w:val="Table caption"/>
    <w:basedOn w:val="Binhthng"/>
    <w:link w:val="Tablecaption"/>
    <w:uiPriority w:val="99"/>
    <w:rsid w:val="003051FA"/>
    <w:pPr>
      <w:shd w:val="clear" w:color="auto" w:fill="FFFFFF"/>
      <w:spacing w:line="250" w:lineRule="auto"/>
      <w:ind w:firstLine="37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paragraph" w:customStyle="1" w:styleId="Other0">
    <w:name w:val="Other"/>
    <w:basedOn w:val="Binhthng"/>
    <w:link w:val="Other"/>
    <w:uiPriority w:val="99"/>
    <w:rsid w:val="003051FA"/>
    <w:pPr>
      <w:shd w:val="clear" w:color="auto" w:fill="FFFFFF"/>
      <w:spacing w:after="100" w:line="257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paragraph" w:customStyle="1" w:styleId="Bodytext50">
    <w:name w:val="Body text (5)"/>
    <w:basedOn w:val="Binhthng"/>
    <w:link w:val="Bodytext5"/>
    <w:uiPriority w:val="99"/>
    <w:rsid w:val="003051FA"/>
    <w:pPr>
      <w:shd w:val="clear" w:color="auto" w:fill="FFFFFF"/>
      <w:spacing w:after="100" w:line="259" w:lineRule="auto"/>
      <w:jc w:val="right"/>
    </w:pPr>
    <w:rPr>
      <w:rFonts w:ascii="Arial" w:eastAsiaTheme="minorHAnsi" w:hAnsi="Arial" w:cs="Arial"/>
      <w:smallCaps/>
      <w:color w:val="auto"/>
      <w:sz w:val="26"/>
      <w:szCs w:val="26"/>
      <w:lang w:val="en-US" w:eastAsia="en-US"/>
    </w:rPr>
  </w:style>
  <w:style w:type="table" w:styleId="LiBang">
    <w:name w:val="Table Grid"/>
    <w:basedOn w:val="BangThngthng"/>
    <w:uiPriority w:val="39"/>
    <w:rsid w:val="003051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3051FA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3051F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Chntrang">
    <w:name w:val="footer"/>
    <w:basedOn w:val="Binhthng"/>
    <w:link w:val="ChntrangChar"/>
    <w:uiPriority w:val="99"/>
    <w:unhideWhenUsed/>
    <w:rsid w:val="003051FA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3051F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4232</Words>
  <Characters>24125</Characters>
  <Application>Microsoft Office Word</Application>
  <DocSecurity>0</DocSecurity>
  <Lines>201</Lines>
  <Paragraphs>56</Paragraphs>
  <ScaleCrop>false</ScaleCrop>
  <Company/>
  <LinksUpToDate>false</LinksUpToDate>
  <CharactersWithSpaces>28301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1</cp:revision>
  <dcterms:created xsi:type="dcterms:W3CDTF">2020-06-14T07:43:00Z</dcterms:created>
  <dcterms:modified xsi:type="dcterms:W3CDTF">2020-06-14T07:54:00Z</dcterms:modified>
</cp:coreProperties>
</file>